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6D8" w:rsidRPr="00624446" w:rsidRDefault="00266A3B" w:rsidP="008B57DD">
      <w:pPr>
        <w:jc w:val="center"/>
        <w:rPr>
          <w:b/>
          <w:sz w:val="24"/>
        </w:rPr>
      </w:pPr>
      <w:r>
        <w:rPr>
          <w:b/>
          <w:sz w:val="36"/>
        </w:rPr>
        <w:t>BURLESCOMBE</w:t>
      </w:r>
      <w:r w:rsidR="00B3767D">
        <w:rPr>
          <w:b/>
          <w:sz w:val="36"/>
        </w:rPr>
        <w:t xml:space="preserve"> PARISH</w:t>
      </w:r>
      <w:r w:rsidR="00C13EF7" w:rsidRPr="00FF4ACE">
        <w:rPr>
          <w:b/>
          <w:sz w:val="36"/>
        </w:rPr>
        <w:t xml:space="preserve"> COUNCIL</w:t>
      </w:r>
      <w:r w:rsidR="00624446">
        <w:rPr>
          <w:b/>
          <w:sz w:val="36"/>
        </w:rPr>
        <w:t xml:space="preserve"> </w:t>
      </w:r>
      <w:r w:rsidR="00624446">
        <w:rPr>
          <w:b/>
          <w:sz w:val="24"/>
        </w:rPr>
        <w:t>(adopted May 18)</w:t>
      </w:r>
    </w:p>
    <w:p w:rsidR="001516D8" w:rsidRPr="00245B5B" w:rsidRDefault="001516D8" w:rsidP="008B57DD">
      <w:pPr>
        <w:jc w:val="center"/>
        <w:rPr>
          <w:b/>
          <w:sz w:val="24"/>
        </w:rPr>
      </w:pPr>
    </w:p>
    <w:p w:rsidR="008B57DD" w:rsidRPr="00245B5B" w:rsidRDefault="008B57DD" w:rsidP="008B57DD">
      <w:pPr>
        <w:jc w:val="center"/>
        <w:rPr>
          <w:sz w:val="28"/>
        </w:rPr>
      </w:pPr>
      <w:r w:rsidRPr="00245B5B">
        <w:rPr>
          <w:b/>
          <w:sz w:val="28"/>
        </w:rPr>
        <w:t xml:space="preserve">DATA SECURITY </w:t>
      </w:r>
      <w:r w:rsidR="005143F8" w:rsidRPr="00245B5B">
        <w:rPr>
          <w:b/>
          <w:sz w:val="28"/>
        </w:rPr>
        <w:t>INCIDENT</w:t>
      </w:r>
      <w:r w:rsidRPr="00245B5B">
        <w:rPr>
          <w:b/>
          <w:sz w:val="28"/>
        </w:rPr>
        <w:t xml:space="preserve"> PROCEDURE</w:t>
      </w:r>
    </w:p>
    <w:p w:rsidR="008B57DD" w:rsidRPr="00245B5B" w:rsidRDefault="008B57DD" w:rsidP="008B57DD">
      <w:pPr>
        <w:rPr>
          <w:sz w:val="24"/>
        </w:rPr>
      </w:pPr>
    </w:p>
    <w:p w:rsidR="002111F2" w:rsidRPr="00245B5B" w:rsidRDefault="00245B5B" w:rsidP="00245B5B">
      <w:pPr>
        <w:rPr>
          <w:b/>
          <w:sz w:val="24"/>
        </w:rPr>
      </w:pPr>
      <w:r w:rsidRPr="00245B5B">
        <w:rPr>
          <w:b/>
          <w:sz w:val="24"/>
        </w:rPr>
        <w:t>1.</w:t>
      </w:r>
      <w:r>
        <w:rPr>
          <w:b/>
          <w:sz w:val="24"/>
        </w:rPr>
        <w:tab/>
      </w:r>
      <w:r w:rsidRPr="00245B5B">
        <w:rPr>
          <w:b/>
          <w:sz w:val="24"/>
        </w:rPr>
        <w:t>INTRODUCTION</w:t>
      </w:r>
    </w:p>
    <w:p w:rsidR="002111F2" w:rsidRPr="00245B5B" w:rsidRDefault="002111F2" w:rsidP="002111F2">
      <w:pPr>
        <w:rPr>
          <w:sz w:val="24"/>
        </w:rPr>
      </w:pPr>
    </w:p>
    <w:p w:rsidR="00245B5B" w:rsidRDefault="00245B5B" w:rsidP="00245B5B">
      <w:pPr>
        <w:ind w:left="709" w:hanging="709"/>
        <w:rPr>
          <w:sz w:val="24"/>
        </w:rPr>
      </w:pPr>
      <w:r w:rsidRPr="00245B5B">
        <w:rPr>
          <w:sz w:val="24"/>
        </w:rPr>
        <w:t>1.</w:t>
      </w:r>
      <w:r>
        <w:rPr>
          <w:sz w:val="24"/>
        </w:rPr>
        <w:t>1</w:t>
      </w:r>
      <w:r>
        <w:rPr>
          <w:sz w:val="24"/>
        </w:rPr>
        <w:tab/>
      </w:r>
      <w:r w:rsidR="002111F2" w:rsidRPr="00245B5B">
        <w:rPr>
          <w:sz w:val="24"/>
        </w:rPr>
        <w:t>We have a re</w:t>
      </w:r>
      <w:r w:rsidR="00C13EF7" w:rsidRPr="00245B5B">
        <w:rPr>
          <w:sz w:val="24"/>
        </w:rPr>
        <w:t>sponsibility to ensure that personal</w:t>
      </w:r>
      <w:r w:rsidR="002111F2" w:rsidRPr="00245B5B">
        <w:rPr>
          <w:sz w:val="24"/>
        </w:rPr>
        <w:t xml:space="preserve"> information is kept </w:t>
      </w:r>
      <w:r w:rsidR="00C13EF7" w:rsidRPr="00245B5B">
        <w:rPr>
          <w:sz w:val="24"/>
        </w:rPr>
        <w:t xml:space="preserve">and used </w:t>
      </w:r>
      <w:r w:rsidR="002111F2" w:rsidRPr="00245B5B">
        <w:rPr>
          <w:sz w:val="24"/>
        </w:rPr>
        <w:t>securely. If anything goes wrong and, for example, data is lost, stolen</w:t>
      </w:r>
      <w:r w:rsidR="002655AF" w:rsidRPr="00245B5B">
        <w:rPr>
          <w:sz w:val="24"/>
        </w:rPr>
        <w:t>, misused</w:t>
      </w:r>
      <w:r w:rsidR="00F0172A" w:rsidRPr="00245B5B">
        <w:rPr>
          <w:sz w:val="24"/>
        </w:rPr>
        <w:t>, sent to the wrong address</w:t>
      </w:r>
      <w:r w:rsidR="002655AF" w:rsidRPr="00245B5B">
        <w:rPr>
          <w:sz w:val="24"/>
        </w:rPr>
        <w:t xml:space="preserve"> or inappropriately accessed or released, </w:t>
      </w:r>
      <w:r w:rsidR="002111F2" w:rsidRPr="00245B5B">
        <w:rPr>
          <w:sz w:val="24"/>
        </w:rPr>
        <w:t>we equally have a responsibility to put things right.</w:t>
      </w:r>
    </w:p>
    <w:p w:rsidR="00245B5B" w:rsidRDefault="00245B5B" w:rsidP="00245B5B">
      <w:pPr>
        <w:ind w:left="709" w:hanging="709"/>
        <w:rPr>
          <w:sz w:val="24"/>
        </w:rPr>
      </w:pPr>
    </w:p>
    <w:p w:rsidR="00245B5B" w:rsidRDefault="00245B5B" w:rsidP="00245B5B">
      <w:pPr>
        <w:ind w:left="709" w:hanging="709"/>
        <w:rPr>
          <w:sz w:val="24"/>
        </w:rPr>
      </w:pPr>
      <w:r>
        <w:rPr>
          <w:sz w:val="24"/>
        </w:rPr>
        <w:t>1.2</w:t>
      </w:r>
      <w:r>
        <w:rPr>
          <w:sz w:val="24"/>
        </w:rPr>
        <w:tab/>
      </w:r>
      <w:r w:rsidR="002111F2" w:rsidRPr="00245B5B">
        <w:rPr>
          <w:sz w:val="24"/>
        </w:rPr>
        <w:t>All</w:t>
      </w:r>
      <w:r w:rsidR="00C13EF7" w:rsidRPr="00245B5B">
        <w:rPr>
          <w:sz w:val="24"/>
        </w:rPr>
        <w:t xml:space="preserve"> suspected</w:t>
      </w:r>
      <w:r w:rsidR="002111F2" w:rsidRPr="00245B5B">
        <w:rPr>
          <w:sz w:val="24"/>
        </w:rPr>
        <w:t xml:space="preserve"> information security incidents must be reported</w:t>
      </w:r>
      <w:r w:rsidR="00C13EF7" w:rsidRPr="00245B5B">
        <w:rPr>
          <w:sz w:val="24"/>
        </w:rPr>
        <w:t xml:space="preserve"> to the Data Protection Officer (DPO). This enables the DPO</w:t>
      </w:r>
      <w:r w:rsidR="002111F2" w:rsidRPr="00245B5B">
        <w:rPr>
          <w:sz w:val="24"/>
        </w:rPr>
        <w:t xml:space="preserve"> to conduct a full investigation, and to identify areas of weakness and improvements that need to be m</w:t>
      </w:r>
      <w:r w:rsidR="00C13EF7" w:rsidRPr="00245B5B">
        <w:rPr>
          <w:sz w:val="24"/>
        </w:rPr>
        <w:t>ade. It also enables the DPO to take a</w:t>
      </w:r>
      <w:r w:rsidR="002111F2" w:rsidRPr="00245B5B">
        <w:rPr>
          <w:sz w:val="24"/>
        </w:rPr>
        <w:t xml:space="preserve"> decision </w:t>
      </w:r>
      <w:r w:rsidR="00C13EF7" w:rsidRPr="00245B5B">
        <w:rPr>
          <w:sz w:val="24"/>
        </w:rPr>
        <w:t xml:space="preserve">as to </w:t>
      </w:r>
      <w:r w:rsidR="002111F2" w:rsidRPr="00245B5B">
        <w:rPr>
          <w:sz w:val="24"/>
        </w:rPr>
        <w:t>whether the incident should be reported to the Information Commissioner’s Office</w:t>
      </w:r>
      <w:r w:rsidR="00C13EF7" w:rsidRPr="00245B5B">
        <w:rPr>
          <w:sz w:val="24"/>
        </w:rPr>
        <w:t xml:space="preserve"> as a data breach</w:t>
      </w:r>
      <w:r w:rsidR="002111F2" w:rsidRPr="00245B5B">
        <w:rPr>
          <w:sz w:val="24"/>
        </w:rPr>
        <w:t xml:space="preserve">. </w:t>
      </w:r>
      <w:r w:rsidR="00C13EF7" w:rsidRPr="00245B5B">
        <w:rPr>
          <w:sz w:val="24"/>
        </w:rPr>
        <w:t>The latter must be done within 72 hours of discovery, therefore all suspected incidents must be reported to the DPO as soon as they are discovered.</w:t>
      </w:r>
    </w:p>
    <w:p w:rsidR="00245B5B" w:rsidRDefault="00245B5B" w:rsidP="00245B5B">
      <w:pPr>
        <w:ind w:left="709" w:hanging="709"/>
        <w:rPr>
          <w:sz w:val="24"/>
        </w:rPr>
      </w:pPr>
    </w:p>
    <w:p w:rsidR="00245B5B" w:rsidRDefault="00245B5B" w:rsidP="00245B5B">
      <w:pPr>
        <w:ind w:left="709" w:hanging="709"/>
        <w:rPr>
          <w:sz w:val="24"/>
        </w:rPr>
      </w:pPr>
      <w:r>
        <w:rPr>
          <w:sz w:val="24"/>
        </w:rPr>
        <w:t>1.3</w:t>
      </w:r>
      <w:r>
        <w:rPr>
          <w:sz w:val="24"/>
        </w:rPr>
        <w:tab/>
      </w:r>
      <w:r w:rsidR="002111F2" w:rsidRPr="00245B5B">
        <w:rPr>
          <w:sz w:val="24"/>
        </w:rPr>
        <w:t xml:space="preserve">When </w:t>
      </w:r>
      <w:r w:rsidR="00AB1BCC" w:rsidRPr="00245B5B">
        <w:rPr>
          <w:sz w:val="24"/>
        </w:rPr>
        <w:t xml:space="preserve">sensitive </w:t>
      </w:r>
      <w:r w:rsidR="002111F2" w:rsidRPr="00245B5B">
        <w:rPr>
          <w:sz w:val="24"/>
        </w:rPr>
        <w:t>information has been put at risk, but has not actually been lost, stolen</w:t>
      </w:r>
      <w:r w:rsidR="002655AF" w:rsidRPr="00245B5B">
        <w:rPr>
          <w:sz w:val="24"/>
        </w:rPr>
        <w:t>,</w:t>
      </w:r>
      <w:r w:rsidR="002111F2" w:rsidRPr="00245B5B">
        <w:rPr>
          <w:sz w:val="24"/>
        </w:rPr>
        <w:t xml:space="preserve"> </w:t>
      </w:r>
      <w:r w:rsidR="002655AF" w:rsidRPr="00245B5B">
        <w:rPr>
          <w:sz w:val="24"/>
        </w:rPr>
        <w:t>misused or inappropriately accessed or released</w:t>
      </w:r>
      <w:r w:rsidR="00C13EF7" w:rsidRPr="00245B5B">
        <w:rPr>
          <w:sz w:val="24"/>
        </w:rPr>
        <w:t>, it may</w:t>
      </w:r>
      <w:r w:rsidR="002111F2" w:rsidRPr="00245B5B">
        <w:rPr>
          <w:sz w:val="24"/>
        </w:rPr>
        <w:t xml:space="preserve"> not </w:t>
      </w:r>
      <w:r w:rsidR="00C13EF7" w:rsidRPr="00245B5B">
        <w:rPr>
          <w:sz w:val="24"/>
        </w:rPr>
        <w:t xml:space="preserve">be </w:t>
      </w:r>
      <w:r w:rsidR="002111F2" w:rsidRPr="00245B5B">
        <w:rPr>
          <w:sz w:val="24"/>
        </w:rPr>
        <w:t>an incident</w:t>
      </w:r>
      <w:r w:rsidR="002655AF" w:rsidRPr="00245B5B">
        <w:rPr>
          <w:sz w:val="24"/>
        </w:rPr>
        <w:t xml:space="preserve"> </w:t>
      </w:r>
      <w:r w:rsidR="00C13EF7" w:rsidRPr="00245B5B">
        <w:rPr>
          <w:sz w:val="24"/>
        </w:rPr>
        <w:t>requiring reporting to the Information Commissioner’s Office however</w:t>
      </w:r>
      <w:r w:rsidR="002655AF" w:rsidRPr="00245B5B">
        <w:rPr>
          <w:sz w:val="24"/>
        </w:rPr>
        <w:t xml:space="preserve"> it is </w:t>
      </w:r>
      <w:r w:rsidR="003E30C8" w:rsidRPr="00245B5B">
        <w:rPr>
          <w:sz w:val="24"/>
        </w:rPr>
        <w:t xml:space="preserve">not good </w:t>
      </w:r>
      <w:r w:rsidR="002655AF" w:rsidRPr="00245B5B">
        <w:rPr>
          <w:sz w:val="24"/>
        </w:rPr>
        <w:t>practice.</w:t>
      </w:r>
      <w:r w:rsidR="002111F2" w:rsidRPr="00245B5B">
        <w:rPr>
          <w:sz w:val="24"/>
        </w:rPr>
        <w:t xml:space="preserve">  For example, a member of staff taking sensitive information home without authority but returning it safely the next day</w:t>
      </w:r>
      <w:r w:rsidR="002655AF" w:rsidRPr="00245B5B">
        <w:rPr>
          <w:sz w:val="24"/>
        </w:rPr>
        <w:t xml:space="preserve"> would have put data at risk</w:t>
      </w:r>
      <w:r w:rsidR="002111F2" w:rsidRPr="00245B5B">
        <w:rPr>
          <w:sz w:val="24"/>
        </w:rPr>
        <w:t xml:space="preserve">. </w:t>
      </w:r>
      <w:r w:rsidR="00C13EF7" w:rsidRPr="00245B5B">
        <w:rPr>
          <w:sz w:val="24"/>
        </w:rPr>
        <w:t>The DPO will still put measures in place to prevent a reoccurrence.</w:t>
      </w:r>
    </w:p>
    <w:p w:rsidR="00245B5B" w:rsidRDefault="00245B5B" w:rsidP="00245B5B">
      <w:pPr>
        <w:ind w:left="709" w:hanging="709"/>
        <w:rPr>
          <w:sz w:val="24"/>
        </w:rPr>
      </w:pPr>
    </w:p>
    <w:p w:rsidR="00F0172A" w:rsidRPr="00245B5B" w:rsidRDefault="00245B5B" w:rsidP="00245B5B">
      <w:pPr>
        <w:ind w:left="709" w:hanging="709"/>
        <w:rPr>
          <w:sz w:val="24"/>
        </w:rPr>
      </w:pPr>
      <w:r>
        <w:rPr>
          <w:sz w:val="24"/>
        </w:rPr>
        <w:t>1.4</w:t>
      </w:r>
      <w:r>
        <w:rPr>
          <w:sz w:val="24"/>
        </w:rPr>
        <w:tab/>
      </w:r>
      <w:r w:rsidR="00F0172A" w:rsidRPr="00245B5B">
        <w:rPr>
          <w:sz w:val="24"/>
        </w:rPr>
        <w:t>All staff and councillors must be made aware of this procedure.</w:t>
      </w:r>
    </w:p>
    <w:p w:rsidR="00A97135" w:rsidRPr="00245B5B" w:rsidRDefault="00A97135" w:rsidP="008B57DD">
      <w:pPr>
        <w:rPr>
          <w:sz w:val="24"/>
        </w:rPr>
      </w:pPr>
    </w:p>
    <w:p w:rsidR="00733FC5" w:rsidRPr="00245B5B" w:rsidRDefault="00245B5B" w:rsidP="00A97135">
      <w:pPr>
        <w:rPr>
          <w:rFonts w:cs="Arial"/>
          <w:b/>
          <w:sz w:val="24"/>
          <w:lang w:eastAsia="en-US"/>
        </w:rPr>
      </w:pPr>
      <w:r>
        <w:rPr>
          <w:rFonts w:cs="Arial"/>
          <w:b/>
          <w:sz w:val="24"/>
          <w:lang w:eastAsia="en-US"/>
        </w:rPr>
        <w:t>2.</w:t>
      </w:r>
      <w:r>
        <w:rPr>
          <w:rFonts w:cs="Arial"/>
          <w:b/>
          <w:sz w:val="24"/>
          <w:lang w:eastAsia="en-US"/>
        </w:rPr>
        <w:tab/>
      </w:r>
      <w:r w:rsidRPr="00245B5B">
        <w:rPr>
          <w:rFonts w:cs="Arial"/>
          <w:b/>
          <w:sz w:val="24"/>
          <w:lang w:eastAsia="en-US"/>
        </w:rPr>
        <w:t>PROCEDURE</w:t>
      </w:r>
    </w:p>
    <w:p w:rsidR="002655AF" w:rsidRPr="00245B5B" w:rsidRDefault="002655AF" w:rsidP="00A97135">
      <w:pPr>
        <w:rPr>
          <w:rFonts w:cs="Arial"/>
          <w:sz w:val="24"/>
          <w:lang w:eastAsia="en-US"/>
        </w:rPr>
      </w:pPr>
    </w:p>
    <w:p w:rsidR="00245B5B" w:rsidRDefault="00245B5B" w:rsidP="00245B5B">
      <w:pPr>
        <w:ind w:left="709" w:hanging="709"/>
        <w:rPr>
          <w:sz w:val="24"/>
        </w:rPr>
      </w:pPr>
      <w:r>
        <w:rPr>
          <w:sz w:val="24"/>
        </w:rPr>
        <w:t>2.1</w:t>
      </w:r>
      <w:r>
        <w:rPr>
          <w:sz w:val="24"/>
        </w:rPr>
        <w:tab/>
      </w:r>
      <w:r w:rsidR="00C13EF7" w:rsidRPr="00245B5B">
        <w:rPr>
          <w:sz w:val="24"/>
        </w:rPr>
        <w:t>All identified incidents must be reported to the DPO as soon as they are detected. Even where there is some difference of opinion regarding breach, err on the side of caution and report it.</w:t>
      </w:r>
    </w:p>
    <w:p w:rsidR="00245B5B" w:rsidRDefault="00245B5B" w:rsidP="00245B5B">
      <w:pPr>
        <w:ind w:left="709" w:hanging="709"/>
        <w:rPr>
          <w:sz w:val="24"/>
        </w:rPr>
      </w:pPr>
    </w:p>
    <w:p w:rsidR="00C13EF7" w:rsidRPr="00245B5B" w:rsidRDefault="00245B5B" w:rsidP="00245B5B">
      <w:pPr>
        <w:ind w:left="709" w:hanging="709"/>
        <w:rPr>
          <w:sz w:val="24"/>
        </w:rPr>
      </w:pPr>
      <w:r>
        <w:rPr>
          <w:sz w:val="24"/>
        </w:rPr>
        <w:t>2.2</w:t>
      </w:r>
      <w:r>
        <w:rPr>
          <w:sz w:val="24"/>
        </w:rPr>
        <w:tab/>
      </w:r>
      <w:r w:rsidR="00C13EF7" w:rsidRPr="00245B5B">
        <w:rPr>
          <w:sz w:val="24"/>
        </w:rPr>
        <w:t>Upon detecting a breach, it is important to act quickly. In particular it is important to let the DPO know</w:t>
      </w:r>
      <w:r w:rsidR="00F0172A" w:rsidRPr="00245B5B">
        <w:rPr>
          <w:sz w:val="24"/>
        </w:rPr>
        <w:t xml:space="preserve"> the following:</w:t>
      </w:r>
    </w:p>
    <w:p w:rsidR="00C13EF7" w:rsidRPr="00245B5B" w:rsidRDefault="00C13EF7" w:rsidP="00245B5B">
      <w:pPr>
        <w:numPr>
          <w:ilvl w:val="0"/>
          <w:numId w:val="13"/>
        </w:numPr>
        <w:ind w:left="993" w:hanging="284"/>
        <w:rPr>
          <w:sz w:val="24"/>
        </w:rPr>
      </w:pPr>
      <w:r w:rsidRPr="00245B5B">
        <w:rPr>
          <w:sz w:val="24"/>
        </w:rPr>
        <w:t>The extent of the breach</w:t>
      </w:r>
    </w:p>
    <w:p w:rsidR="00C13EF7" w:rsidRPr="00245B5B" w:rsidRDefault="00C13EF7" w:rsidP="00245B5B">
      <w:pPr>
        <w:numPr>
          <w:ilvl w:val="0"/>
          <w:numId w:val="13"/>
        </w:numPr>
        <w:ind w:left="993" w:hanging="284"/>
        <w:rPr>
          <w:sz w:val="24"/>
        </w:rPr>
      </w:pPr>
      <w:r w:rsidRPr="00245B5B">
        <w:rPr>
          <w:sz w:val="24"/>
        </w:rPr>
        <w:t>The amount of information involved</w:t>
      </w:r>
    </w:p>
    <w:p w:rsidR="00C13EF7" w:rsidRPr="00245B5B" w:rsidRDefault="00C13EF7" w:rsidP="00245B5B">
      <w:pPr>
        <w:numPr>
          <w:ilvl w:val="0"/>
          <w:numId w:val="13"/>
        </w:numPr>
        <w:ind w:left="993" w:hanging="284"/>
        <w:rPr>
          <w:sz w:val="24"/>
        </w:rPr>
      </w:pPr>
      <w:r w:rsidRPr="00245B5B">
        <w:rPr>
          <w:sz w:val="24"/>
        </w:rPr>
        <w:t>The sensitivity of information involved</w:t>
      </w:r>
    </w:p>
    <w:p w:rsidR="00F0172A" w:rsidRPr="00245B5B" w:rsidRDefault="00F0172A" w:rsidP="00F0172A">
      <w:pPr>
        <w:rPr>
          <w:sz w:val="24"/>
        </w:rPr>
      </w:pPr>
    </w:p>
    <w:p w:rsidR="00245B5B" w:rsidRDefault="00245B5B" w:rsidP="00245B5B">
      <w:pPr>
        <w:ind w:left="709" w:hanging="709"/>
        <w:rPr>
          <w:rFonts w:cs="Arial"/>
          <w:sz w:val="24"/>
          <w:lang w:eastAsia="en-US"/>
        </w:rPr>
      </w:pPr>
      <w:r>
        <w:rPr>
          <w:rFonts w:cs="Arial"/>
          <w:sz w:val="24"/>
          <w:lang w:eastAsia="en-US"/>
        </w:rPr>
        <w:t>2.3</w:t>
      </w:r>
      <w:r>
        <w:rPr>
          <w:rFonts w:cs="Arial"/>
          <w:sz w:val="24"/>
          <w:lang w:eastAsia="en-US"/>
        </w:rPr>
        <w:tab/>
      </w:r>
      <w:r w:rsidR="00F0172A" w:rsidRPr="00245B5B">
        <w:rPr>
          <w:rFonts w:cs="Arial"/>
          <w:sz w:val="24"/>
          <w:lang w:eastAsia="en-US"/>
        </w:rPr>
        <w:t xml:space="preserve">The DPO will investigate the incident and establish why it happened, whether or not it constitutes a breach and what remedial action is necessary. </w:t>
      </w:r>
    </w:p>
    <w:p w:rsidR="00245B5B" w:rsidRDefault="00245B5B" w:rsidP="00245B5B">
      <w:pPr>
        <w:ind w:left="709" w:hanging="709"/>
        <w:rPr>
          <w:rFonts w:cs="Arial"/>
          <w:sz w:val="24"/>
          <w:lang w:eastAsia="en-US"/>
        </w:rPr>
      </w:pPr>
    </w:p>
    <w:p w:rsidR="00245B5B" w:rsidRDefault="00245B5B" w:rsidP="00245B5B">
      <w:pPr>
        <w:ind w:left="709" w:hanging="709"/>
        <w:rPr>
          <w:rFonts w:cs="Arial"/>
          <w:sz w:val="24"/>
          <w:lang w:eastAsia="en-US"/>
        </w:rPr>
      </w:pPr>
      <w:r>
        <w:rPr>
          <w:rFonts w:cs="Arial"/>
          <w:sz w:val="24"/>
          <w:lang w:eastAsia="en-US"/>
        </w:rPr>
        <w:t>2.4</w:t>
      </w:r>
      <w:r>
        <w:rPr>
          <w:rFonts w:cs="Arial"/>
          <w:sz w:val="24"/>
          <w:lang w:eastAsia="en-US"/>
        </w:rPr>
        <w:tab/>
      </w:r>
      <w:r w:rsidR="00F0172A" w:rsidRPr="00245B5B">
        <w:rPr>
          <w:rFonts w:cs="Arial"/>
          <w:sz w:val="24"/>
          <w:lang w:eastAsia="en-US"/>
        </w:rPr>
        <w:t xml:space="preserve">The DPO will use their initial assessment to report the breach if it meets the necessary threshold for reporting to the Information </w:t>
      </w:r>
      <w:r w:rsidR="00F0172A" w:rsidRPr="00245B5B">
        <w:rPr>
          <w:rFonts w:cs="Arial"/>
          <w:sz w:val="24"/>
          <w:lang w:eastAsia="en-US"/>
        </w:rPr>
        <w:lastRenderedPageBreak/>
        <w:t>Commissioner’s Office within 72 hours of the discovery of the breach. If this is done after 72 hours, the DPO will provide an explanation for this.</w:t>
      </w:r>
    </w:p>
    <w:p w:rsidR="00245B5B" w:rsidRDefault="00245B5B" w:rsidP="00245B5B">
      <w:pPr>
        <w:ind w:left="709" w:hanging="709"/>
        <w:rPr>
          <w:rFonts w:cs="Arial"/>
          <w:sz w:val="24"/>
          <w:lang w:eastAsia="en-US"/>
        </w:rPr>
      </w:pPr>
    </w:p>
    <w:p w:rsidR="00F0172A" w:rsidRPr="00245B5B" w:rsidRDefault="00245B5B" w:rsidP="00245B5B">
      <w:pPr>
        <w:ind w:left="709" w:hanging="709"/>
        <w:rPr>
          <w:rFonts w:cs="Arial"/>
          <w:sz w:val="24"/>
          <w:lang w:eastAsia="en-US"/>
        </w:rPr>
      </w:pPr>
      <w:r>
        <w:rPr>
          <w:rFonts w:cs="Arial"/>
          <w:sz w:val="24"/>
          <w:lang w:eastAsia="en-US"/>
        </w:rPr>
        <w:t>2.5</w:t>
      </w:r>
      <w:r>
        <w:rPr>
          <w:rFonts w:cs="Arial"/>
          <w:sz w:val="24"/>
          <w:lang w:eastAsia="en-US"/>
        </w:rPr>
        <w:tab/>
      </w:r>
      <w:r w:rsidR="00F0172A" w:rsidRPr="00245B5B">
        <w:rPr>
          <w:rFonts w:cs="Arial"/>
          <w:sz w:val="24"/>
          <w:lang w:eastAsia="en-US"/>
        </w:rPr>
        <w:t>The DPO will prepare an incident report containing the following:</w:t>
      </w:r>
    </w:p>
    <w:p w:rsidR="00C13EF7" w:rsidRPr="00245B5B" w:rsidRDefault="00C13EF7" w:rsidP="00245B5B">
      <w:pPr>
        <w:numPr>
          <w:ilvl w:val="0"/>
          <w:numId w:val="13"/>
        </w:numPr>
        <w:ind w:left="993" w:hanging="284"/>
        <w:rPr>
          <w:sz w:val="24"/>
        </w:rPr>
      </w:pPr>
      <w:r w:rsidRPr="00245B5B">
        <w:rPr>
          <w:sz w:val="24"/>
        </w:rPr>
        <w:t>A timeline of dates and times concerning the incident</w:t>
      </w:r>
    </w:p>
    <w:p w:rsidR="00C13EF7" w:rsidRPr="00245B5B" w:rsidRDefault="00C13EF7" w:rsidP="00245B5B">
      <w:pPr>
        <w:numPr>
          <w:ilvl w:val="0"/>
          <w:numId w:val="13"/>
        </w:numPr>
        <w:ind w:left="993" w:hanging="284"/>
        <w:rPr>
          <w:sz w:val="24"/>
        </w:rPr>
      </w:pPr>
      <w:r w:rsidRPr="00245B5B">
        <w:rPr>
          <w:sz w:val="24"/>
        </w:rPr>
        <w:t>The potential for loss</w:t>
      </w:r>
      <w:r w:rsidR="00F0172A" w:rsidRPr="00245B5B">
        <w:rPr>
          <w:sz w:val="24"/>
        </w:rPr>
        <w:t xml:space="preserve"> or damage to individuals, the parish c</w:t>
      </w:r>
      <w:r w:rsidRPr="00245B5B">
        <w:rPr>
          <w:sz w:val="24"/>
        </w:rPr>
        <w:t>ouncil or any other body</w:t>
      </w:r>
    </w:p>
    <w:p w:rsidR="00C13EF7" w:rsidRDefault="00C13EF7" w:rsidP="00245B5B">
      <w:pPr>
        <w:numPr>
          <w:ilvl w:val="0"/>
          <w:numId w:val="13"/>
        </w:numPr>
        <w:ind w:left="993" w:hanging="284"/>
        <w:rPr>
          <w:sz w:val="24"/>
        </w:rPr>
      </w:pPr>
      <w:r w:rsidRPr="00245B5B">
        <w:rPr>
          <w:sz w:val="24"/>
        </w:rPr>
        <w:t>What measures need to be taken and how quickly to address:-</w:t>
      </w:r>
    </w:p>
    <w:p w:rsidR="0048493A" w:rsidRPr="00245B5B" w:rsidRDefault="0048493A" w:rsidP="0048493A">
      <w:pPr>
        <w:ind w:left="993"/>
        <w:rPr>
          <w:sz w:val="24"/>
        </w:rPr>
      </w:pPr>
    </w:p>
    <w:p w:rsidR="00C13EF7" w:rsidRDefault="00C13EF7" w:rsidP="00245B5B">
      <w:pPr>
        <w:numPr>
          <w:ilvl w:val="2"/>
          <w:numId w:val="10"/>
        </w:numPr>
        <w:ind w:left="1418" w:hanging="141"/>
        <w:rPr>
          <w:sz w:val="24"/>
        </w:rPr>
      </w:pPr>
      <w:r w:rsidRPr="00245B5B">
        <w:rPr>
          <w:sz w:val="24"/>
        </w:rPr>
        <w:t>Restoring any lost information to our custody or control</w:t>
      </w:r>
    </w:p>
    <w:p w:rsidR="0048493A" w:rsidRPr="00245B5B" w:rsidRDefault="0048493A" w:rsidP="0048493A">
      <w:pPr>
        <w:ind w:left="1418"/>
        <w:rPr>
          <w:sz w:val="24"/>
        </w:rPr>
      </w:pPr>
    </w:p>
    <w:p w:rsidR="00C13EF7" w:rsidRDefault="00C13EF7" w:rsidP="00245B5B">
      <w:pPr>
        <w:numPr>
          <w:ilvl w:val="2"/>
          <w:numId w:val="10"/>
        </w:numPr>
        <w:ind w:left="1418" w:hanging="141"/>
        <w:rPr>
          <w:sz w:val="24"/>
        </w:rPr>
      </w:pPr>
      <w:r w:rsidRPr="00245B5B">
        <w:rPr>
          <w:sz w:val="24"/>
        </w:rPr>
        <w:t>Whether to warn people about the loss, including who to warn and when</w:t>
      </w:r>
      <w:r w:rsidR="00F0172A" w:rsidRPr="00245B5B">
        <w:rPr>
          <w:sz w:val="24"/>
        </w:rPr>
        <w:t>. This may require a risk assessment.</w:t>
      </w:r>
    </w:p>
    <w:p w:rsidR="0048493A" w:rsidRPr="00245B5B" w:rsidRDefault="0048493A" w:rsidP="0048493A">
      <w:pPr>
        <w:rPr>
          <w:sz w:val="24"/>
        </w:rPr>
      </w:pPr>
    </w:p>
    <w:p w:rsidR="00F0172A" w:rsidRDefault="00F0172A" w:rsidP="00245B5B">
      <w:pPr>
        <w:numPr>
          <w:ilvl w:val="2"/>
          <w:numId w:val="10"/>
        </w:numPr>
        <w:ind w:left="1418" w:hanging="141"/>
        <w:rPr>
          <w:sz w:val="24"/>
        </w:rPr>
      </w:pPr>
      <w:r w:rsidRPr="00245B5B">
        <w:rPr>
          <w:sz w:val="24"/>
        </w:rPr>
        <w:t>Factors taken into account for deciding</w:t>
      </w:r>
      <w:r w:rsidR="00C13EF7" w:rsidRPr="00245B5B">
        <w:rPr>
          <w:sz w:val="24"/>
        </w:rPr>
        <w:t xml:space="preserve"> to report the loss </w:t>
      </w:r>
      <w:r w:rsidRPr="00245B5B">
        <w:rPr>
          <w:sz w:val="24"/>
        </w:rPr>
        <w:t>to the Information Commissioner’s Office.</w:t>
      </w:r>
    </w:p>
    <w:p w:rsidR="0048493A" w:rsidRPr="00245B5B" w:rsidRDefault="0048493A" w:rsidP="0048493A">
      <w:pPr>
        <w:rPr>
          <w:sz w:val="24"/>
        </w:rPr>
      </w:pPr>
    </w:p>
    <w:p w:rsidR="00C13EF7" w:rsidRPr="00245B5B" w:rsidRDefault="00C13EF7" w:rsidP="00245B5B">
      <w:pPr>
        <w:numPr>
          <w:ilvl w:val="2"/>
          <w:numId w:val="10"/>
        </w:numPr>
        <w:ind w:left="1418" w:hanging="141"/>
        <w:rPr>
          <w:sz w:val="24"/>
        </w:rPr>
      </w:pPr>
      <w:r w:rsidRPr="00245B5B">
        <w:rPr>
          <w:sz w:val="24"/>
        </w:rPr>
        <w:t>Whether to report the loss to the Police</w:t>
      </w:r>
      <w:r w:rsidR="00F0172A" w:rsidRPr="00245B5B">
        <w:rPr>
          <w:sz w:val="24"/>
        </w:rPr>
        <w:t>.</w:t>
      </w:r>
    </w:p>
    <w:p w:rsidR="00C13EF7" w:rsidRPr="00245B5B" w:rsidRDefault="00C13EF7" w:rsidP="00C13EF7">
      <w:pPr>
        <w:rPr>
          <w:rFonts w:cs="Arial"/>
          <w:sz w:val="24"/>
          <w:lang w:eastAsia="en-US"/>
        </w:rPr>
      </w:pPr>
    </w:p>
    <w:p w:rsidR="00245B5B" w:rsidRDefault="00245B5B" w:rsidP="00245B5B">
      <w:pPr>
        <w:ind w:left="709" w:hanging="709"/>
        <w:rPr>
          <w:sz w:val="24"/>
        </w:rPr>
      </w:pPr>
      <w:r>
        <w:rPr>
          <w:sz w:val="24"/>
        </w:rPr>
        <w:t>2.6</w:t>
      </w:r>
      <w:r>
        <w:rPr>
          <w:sz w:val="24"/>
        </w:rPr>
        <w:tab/>
      </w:r>
      <w:r w:rsidR="00F0172A" w:rsidRPr="00245B5B">
        <w:rPr>
          <w:sz w:val="24"/>
        </w:rPr>
        <w:t xml:space="preserve">The DPO will consider taking statements from those involved, especially where the quality of evidence may be lost through time or people may not be present for long. </w:t>
      </w:r>
    </w:p>
    <w:p w:rsidR="00245B5B" w:rsidRDefault="00245B5B" w:rsidP="00245B5B">
      <w:pPr>
        <w:ind w:left="709" w:hanging="709"/>
        <w:rPr>
          <w:sz w:val="24"/>
        </w:rPr>
      </w:pPr>
    </w:p>
    <w:p w:rsidR="00245B5B" w:rsidRDefault="00245B5B" w:rsidP="00245B5B">
      <w:pPr>
        <w:ind w:left="709" w:hanging="709"/>
        <w:rPr>
          <w:sz w:val="24"/>
        </w:rPr>
      </w:pPr>
      <w:r>
        <w:rPr>
          <w:sz w:val="24"/>
        </w:rPr>
        <w:t>2.7</w:t>
      </w:r>
      <w:r>
        <w:rPr>
          <w:sz w:val="24"/>
        </w:rPr>
        <w:tab/>
      </w:r>
      <w:r w:rsidR="001151B5" w:rsidRPr="00245B5B">
        <w:rPr>
          <w:sz w:val="24"/>
        </w:rPr>
        <w:t>The DPO will report any actions that need to be taken to prevent a reoccurance of the breach and the parish council will ensure that these are implemented.</w:t>
      </w:r>
    </w:p>
    <w:p w:rsidR="00245B5B" w:rsidRDefault="00245B5B" w:rsidP="00245B5B">
      <w:pPr>
        <w:ind w:left="709" w:hanging="709"/>
        <w:rPr>
          <w:sz w:val="24"/>
        </w:rPr>
      </w:pPr>
    </w:p>
    <w:p w:rsidR="00245B5B" w:rsidRDefault="00245B5B" w:rsidP="00245B5B">
      <w:pPr>
        <w:ind w:left="709" w:hanging="709"/>
        <w:rPr>
          <w:sz w:val="24"/>
        </w:rPr>
      </w:pPr>
      <w:r>
        <w:rPr>
          <w:sz w:val="24"/>
        </w:rPr>
        <w:t>2.8</w:t>
      </w:r>
      <w:r>
        <w:rPr>
          <w:sz w:val="24"/>
        </w:rPr>
        <w:tab/>
      </w:r>
      <w:r w:rsidR="001151B5" w:rsidRPr="00245B5B">
        <w:rPr>
          <w:sz w:val="24"/>
        </w:rPr>
        <w:t>The DPO will write to any data subject(s) affected, if necessary dependant on the outcome of a risk assessment, and deal with any subsequent complaint. A standard letter template for this is in Appendix 1.</w:t>
      </w:r>
    </w:p>
    <w:p w:rsidR="00245B5B" w:rsidRDefault="00245B5B" w:rsidP="00245B5B">
      <w:pPr>
        <w:ind w:left="709" w:hanging="709"/>
        <w:rPr>
          <w:sz w:val="24"/>
        </w:rPr>
      </w:pPr>
    </w:p>
    <w:p w:rsidR="00245B5B" w:rsidRDefault="00245B5B" w:rsidP="00245B5B">
      <w:pPr>
        <w:ind w:left="709" w:hanging="709"/>
        <w:rPr>
          <w:sz w:val="24"/>
        </w:rPr>
      </w:pPr>
      <w:r>
        <w:rPr>
          <w:sz w:val="24"/>
        </w:rPr>
        <w:t>2.9</w:t>
      </w:r>
      <w:r>
        <w:rPr>
          <w:sz w:val="24"/>
        </w:rPr>
        <w:tab/>
      </w:r>
      <w:r w:rsidR="001151B5" w:rsidRPr="00245B5B">
        <w:rPr>
          <w:sz w:val="24"/>
        </w:rPr>
        <w:t xml:space="preserve">The DPO will also correspond as applicable with any member of the public </w:t>
      </w:r>
      <w:r w:rsidR="007601C9" w:rsidRPr="00245B5B">
        <w:rPr>
          <w:sz w:val="24"/>
        </w:rPr>
        <w:t>reporting a breach.</w:t>
      </w:r>
    </w:p>
    <w:p w:rsidR="00245B5B" w:rsidRDefault="00245B5B" w:rsidP="00245B5B">
      <w:pPr>
        <w:ind w:left="709" w:hanging="709"/>
        <w:rPr>
          <w:sz w:val="24"/>
        </w:rPr>
      </w:pPr>
    </w:p>
    <w:p w:rsidR="00156261" w:rsidRPr="00245B5B" w:rsidRDefault="00245B5B" w:rsidP="00CA0245">
      <w:pPr>
        <w:ind w:left="709" w:hanging="709"/>
        <w:rPr>
          <w:sz w:val="24"/>
        </w:rPr>
      </w:pPr>
      <w:r>
        <w:rPr>
          <w:sz w:val="24"/>
        </w:rPr>
        <w:t>2.10</w:t>
      </w:r>
      <w:r>
        <w:rPr>
          <w:sz w:val="24"/>
        </w:rPr>
        <w:tab/>
      </w:r>
      <w:r w:rsidR="007601C9" w:rsidRPr="00245B5B">
        <w:rPr>
          <w:sz w:val="24"/>
        </w:rPr>
        <w:t>The DPO will deal with any correspondence from the Information Commissioner’s Office, providing any further information requested and implementing any recommendations</w:t>
      </w:r>
      <w:bookmarkStart w:id="0" w:name="_GoBack"/>
      <w:bookmarkEnd w:id="0"/>
    </w:p>
    <w:sectPr w:rsidR="00156261" w:rsidRPr="00245B5B" w:rsidSect="00D42732">
      <w:footerReference w:type="default" r:id="rId13"/>
      <w:pgSz w:w="11906" w:h="16838"/>
      <w:pgMar w:top="1440" w:right="1800" w:bottom="1135"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3F2" w:rsidRDefault="00B963F2" w:rsidP="004B21C4">
      <w:r>
        <w:separator/>
      </w:r>
    </w:p>
  </w:endnote>
  <w:endnote w:type="continuationSeparator" w:id="0">
    <w:p w:rsidR="00B963F2" w:rsidRDefault="00B963F2" w:rsidP="004B2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B5B" w:rsidRPr="00245B5B" w:rsidRDefault="00245B5B" w:rsidP="00245B5B">
    <w:pPr>
      <w:pStyle w:val="Footer"/>
      <w:pBdr>
        <w:top w:val="single" w:sz="4" w:space="1" w:color="D9D9D9"/>
      </w:pBdr>
      <w:jc w:val="right"/>
      <w:rPr>
        <w:sz w:val="24"/>
      </w:rPr>
    </w:pPr>
    <w:r w:rsidRPr="00245B5B">
      <w:rPr>
        <w:sz w:val="24"/>
      </w:rPr>
      <w:fldChar w:fldCharType="begin"/>
    </w:r>
    <w:r w:rsidRPr="00245B5B">
      <w:rPr>
        <w:sz w:val="24"/>
      </w:rPr>
      <w:instrText xml:space="preserve"> PAGE   \* MERGEFORMAT </w:instrText>
    </w:r>
    <w:r w:rsidRPr="00245B5B">
      <w:rPr>
        <w:sz w:val="24"/>
      </w:rPr>
      <w:fldChar w:fldCharType="separate"/>
    </w:r>
    <w:r w:rsidR="00CA0245">
      <w:rPr>
        <w:noProof/>
        <w:sz w:val="24"/>
      </w:rPr>
      <w:t>2</w:t>
    </w:r>
    <w:r w:rsidRPr="00245B5B">
      <w:rPr>
        <w:noProof/>
        <w:sz w:val="24"/>
      </w:rPr>
      <w:fldChar w:fldCharType="end"/>
    </w:r>
    <w:r w:rsidRPr="00245B5B">
      <w:rPr>
        <w:sz w:val="24"/>
      </w:rPr>
      <w:t xml:space="preserve"> | </w:t>
    </w:r>
    <w:r w:rsidRPr="00245B5B">
      <w:rPr>
        <w:color w:val="7F7F7F"/>
        <w:spacing w:val="60"/>
        <w:sz w:val="24"/>
      </w:rPr>
      <w:t>Page</w:t>
    </w:r>
  </w:p>
  <w:p w:rsidR="004B21C4" w:rsidRPr="00245B5B" w:rsidRDefault="004B21C4" w:rsidP="00245B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3F2" w:rsidRDefault="00B963F2" w:rsidP="004B21C4">
      <w:r>
        <w:separator/>
      </w:r>
    </w:p>
  </w:footnote>
  <w:footnote w:type="continuationSeparator" w:id="0">
    <w:p w:rsidR="00B963F2" w:rsidRDefault="00B963F2" w:rsidP="004B21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F0E6B"/>
    <w:multiLevelType w:val="multilevel"/>
    <w:tmpl w:val="0809001D"/>
    <w:numStyleLink w:val="1ai"/>
  </w:abstractNum>
  <w:abstractNum w:abstractNumId="1" w15:restartNumberingAfterBreak="0">
    <w:nsid w:val="1FCD36E5"/>
    <w:multiLevelType w:val="hybridMultilevel"/>
    <w:tmpl w:val="97AAC1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E02067"/>
    <w:multiLevelType w:val="multilevel"/>
    <w:tmpl w:val="6FA21D80"/>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80733C1"/>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399B269D"/>
    <w:multiLevelType w:val="hybridMultilevel"/>
    <w:tmpl w:val="40B498F6"/>
    <w:lvl w:ilvl="0" w:tplc="872C3ED4">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3551E4"/>
    <w:multiLevelType w:val="multilevel"/>
    <w:tmpl w:val="8258FEF4"/>
    <w:lvl w:ilvl="0">
      <w:start w:val="1"/>
      <w:numFmt w:val="decimal"/>
      <w:lvlText w:val="%1"/>
      <w:lvlJc w:val="left"/>
      <w:pPr>
        <w:tabs>
          <w:tab w:val="num" w:pos="2880"/>
        </w:tabs>
        <w:ind w:left="2880" w:hanging="720"/>
      </w:pPr>
      <w:rPr>
        <w:rFonts w:ascii="Arial" w:hAnsi="Arial" w:hint="default"/>
        <w:b w:val="0"/>
        <w:i w:val="0"/>
        <w:sz w:val="24"/>
        <w:szCs w:val="24"/>
      </w:rPr>
    </w:lvl>
    <w:lvl w:ilvl="1">
      <w:start w:val="1"/>
      <w:numFmt w:val="lowerLetter"/>
      <w:lvlText w:val="%2."/>
      <w:lvlJc w:val="left"/>
      <w:pPr>
        <w:tabs>
          <w:tab w:val="num" w:pos="3600"/>
        </w:tabs>
        <w:ind w:left="3600" w:hanging="360"/>
      </w:pPr>
    </w:lvl>
    <w:lvl w:ilvl="2">
      <w:start w:val="1"/>
      <w:numFmt w:val="lowerRoman"/>
      <w:lvlText w:val="%3."/>
      <w:lvlJc w:val="right"/>
      <w:pPr>
        <w:tabs>
          <w:tab w:val="num" w:pos="4320"/>
        </w:tabs>
        <w:ind w:left="4320" w:hanging="180"/>
      </w:pPr>
    </w:lvl>
    <w:lvl w:ilvl="3">
      <w:start w:val="1"/>
      <w:numFmt w:val="decimal"/>
      <w:lvlText w:val="%4."/>
      <w:lvlJc w:val="left"/>
      <w:pPr>
        <w:tabs>
          <w:tab w:val="num" w:pos="5040"/>
        </w:tabs>
        <w:ind w:left="5040" w:hanging="360"/>
      </w:pPr>
    </w:lvl>
    <w:lvl w:ilvl="4">
      <w:start w:val="1"/>
      <w:numFmt w:val="lowerLetter"/>
      <w:lvlText w:val="%5."/>
      <w:lvlJc w:val="left"/>
      <w:pPr>
        <w:tabs>
          <w:tab w:val="num" w:pos="5760"/>
        </w:tabs>
        <w:ind w:left="5760" w:hanging="360"/>
      </w:pPr>
    </w:lvl>
    <w:lvl w:ilvl="5">
      <w:start w:val="1"/>
      <w:numFmt w:val="lowerRoman"/>
      <w:lvlText w:val="%6."/>
      <w:lvlJc w:val="right"/>
      <w:pPr>
        <w:tabs>
          <w:tab w:val="num" w:pos="6480"/>
        </w:tabs>
        <w:ind w:left="6480" w:hanging="180"/>
      </w:pPr>
    </w:lvl>
    <w:lvl w:ilvl="6">
      <w:start w:val="1"/>
      <w:numFmt w:val="decimal"/>
      <w:lvlText w:val="%7."/>
      <w:lvlJc w:val="left"/>
      <w:pPr>
        <w:tabs>
          <w:tab w:val="num" w:pos="7200"/>
        </w:tabs>
        <w:ind w:left="7200" w:hanging="360"/>
      </w:pPr>
    </w:lvl>
    <w:lvl w:ilvl="7">
      <w:start w:val="1"/>
      <w:numFmt w:val="lowerLetter"/>
      <w:lvlText w:val="%8."/>
      <w:lvlJc w:val="left"/>
      <w:pPr>
        <w:tabs>
          <w:tab w:val="num" w:pos="7920"/>
        </w:tabs>
        <w:ind w:left="7920" w:hanging="360"/>
      </w:pPr>
    </w:lvl>
    <w:lvl w:ilvl="8">
      <w:start w:val="1"/>
      <w:numFmt w:val="lowerRoman"/>
      <w:lvlText w:val="%9."/>
      <w:lvlJc w:val="right"/>
      <w:pPr>
        <w:tabs>
          <w:tab w:val="num" w:pos="8640"/>
        </w:tabs>
        <w:ind w:left="8640" w:hanging="180"/>
      </w:pPr>
    </w:lvl>
  </w:abstractNum>
  <w:abstractNum w:abstractNumId="6" w15:restartNumberingAfterBreak="0">
    <w:nsid w:val="4EE86C9E"/>
    <w:multiLevelType w:val="hybridMultilevel"/>
    <w:tmpl w:val="913AD9EE"/>
    <w:lvl w:ilvl="0" w:tplc="5C7EA1C6">
      <w:start w:val="1"/>
      <w:numFmt w:val="decimal"/>
      <w:lvlText w:val="%1"/>
      <w:lvlJc w:val="left"/>
      <w:pPr>
        <w:tabs>
          <w:tab w:val="num" w:pos="2880"/>
        </w:tabs>
        <w:ind w:left="2880" w:hanging="720"/>
      </w:pPr>
      <w:rPr>
        <w:rFonts w:ascii="Arial" w:hAnsi="Arial" w:hint="default"/>
        <w:b w:val="0"/>
        <w:i w:val="0"/>
        <w:sz w:val="24"/>
        <w:szCs w:val="24"/>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7" w15:restartNumberingAfterBreak="0">
    <w:nsid w:val="5EDD15B4"/>
    <w:multiLevelType w:val="hybridMultilevel"/>
    <w:tmpl w:val="BDE6AA78"/>
    <w:lvl w:ilvl="0" w:tplc="0E40EA5C">
      <w:start w:val="1"/>
      <w:numFmt w:val="bullet"/>
      <w:lvlText w:val=""/>
      <w:lvlJc w:val="left"/>
      <w:pPr>
        <w:tabs>
          <w:tab w:val="num" w:pos="1069"/>
        </w:tabs>
        <w:ind w:left="1040" w:hanging="32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D82747B"/>
    <w:multiLevelType w:val="multilevel"/>
    <w:tmpl w:val="2D4AC5D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6F0F5236"/>
    <w:multiLevelType w:val="hybridMultilevel"/>
    <w:tmpl w:val="7EDAF904"/>
    <w:lvl w:ilvl="0" w:tplc="5C7EA1C6">
      <w:start w:val="1"/>
      <w:numFmt w:val="decimal"/>
      <w:lvlText w:val="%1"/>
      <w:lvlJc w:val="left"/>
      <w:pPr>
        <w:tabs>
          <w:tab w:val="num" w:pos="720"/>
        </w:tabs>
        <w:ind w:left="720" w:hanging="720"/>
      </w:pPr>
      <w:rPr>
        <w:rFonts w:ascii="Arial" w:hAnsi="Arial" w:hint="default"/>
        <w:b w:val="0"/>
        <w:i w:val="0"/>
        <w:sz w:val="24"/>
        <w:szCs w:val="24"/>
      </w:rPr>
    </w:lvl>
    <w:lvl w:ilvl="1" w:tplc="068A5E24">
      <w:start w:val="1"/>
      <w:numFmt w:val="lowerLetter"/>
      <w:lvlText w:val="%2."/>
      <w:lvlJc w:val="left"/>
      <w:pPr>
        <w:tabs>
          <w:tab w:val="num" w:pos="1080"/>
        </w:tabs>
        <w:ind w:left="1080" w:hanging="360"/>
      </w:pPr>
      <w:rPr>
        <w:rFonts w:hint="default"/>
        <w:b w:val="0"/>
        <w:i w:val="0"/>
        <w:sz w:val="24"/>
        <w:szCs w:val="24"/>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747D2D2C"/>
    <w:multiLevelType w:val="hybridMultilevel"/>
    <w:tmpl w:val="6AEE9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E325FD"/>
    <w:multiLevelType w:val="hybridMultilevel"/>
    <w:tmpl w:val="0BF4E0FA"/>
    <w:lvl w:ilvl="0" w:tplc="C7C211C0">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7A5A1257"/>
    <w:multiLevelType w:val="multilevel"/>
    <w:tmpl w:val="D41E174E"/>
    <w:lvl w:ilvl="0">
      <w:start w:val="1"/>
      <w:numFmt w:val="decimal"/>
      <w:lvlText w:val="%1"/>
      <w:lvlJc w:val="left"/>
      <w:pPr>
        <w:tabs>
          <w:tab w:val="num" w:pos="720"/>
        </w:tabs>
        <w:ind w:left="720" w:hanging="720"/>
      </w:pPr>
      <w:rPr>
        <w:rFonts w:ascii="Arial" w:hAnsi="Arial" w:hint="default"/>
        <w:b w:val="0"/>
        <w:i w:val="0"/>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7E4868B5"/>
    <w:multiLevelType w:val="multilevel"/>
    <w:tmpl w:val="CE5AF8D4"/>
    <w:lvl w:ilvl="0">
      <w:start w:val="1"/>
      <w:numFmt w:val="none"/>
      <w:lvlText w:val="i"/>
      <w:lvlJc w:val="left"/>
      <w:pPr>
        <w:tabs>
          <w:tab w:val="num" w:pos="2280"/>
        </w:tabs>
        <w:ind w:left="2280" w:hanging="840"/>
      </w:pPr>
      <w:rPr>
        <w:rFonts w:hint="default"/>
        <w:b w:val="0"/>
        <w:i w:val="0"/>
        <w:sz w:val="24"/>
        <w:szCs w:val="24"/>
      </w:rPr>
    </w:lvl>
    <w:lvl w:ilvl="1">
      <w:start w:val="9"/>
      <w:numFmt w:val="decimal"/>
      <w:lvlText w:val="%1.%2"/>
      <w:lvlJc w:val="left"/>
      <w:pPr>
        <w:tabs>
          <w:tab w:val="num" w:pos="2707"/>
        </w:tabs>
        <w:ind w:left="2707" w:hanging="840"/>
      </w:pPr>
      <w:rPr>
        <w:rFonts w:hint="default"/>
      </w:rPr>
    </w:lvl>
    <w:lvl w:ilvl="2">
      <w:start w:val="1"/>
      <w:numFmt w:val="decimal"/>
      <w:lvlText w:val="%1.%2.%3"/>
      <w:lvlJc w:val="left"/>
      <w:pPr>
        <w:tabs>
          <w:tab w:val="num" w:pos="3134"/>
        </w:tabs>
        <w:ind w:left="3134" w:hanging="840"/>
      </w:pPr>
      <w:rPr>
        <w:rFonts w:ascii="Arial" w:hAnsi="Arial" w:cs="Arial" w:hint="default"/>
      </w:rPr>
    </w:lvl>
    <w:lvl w:ilvl="3">
      <w:start w:val="1"/>
      <w:numFmt w:val="decimal"/>
      <w:lvlText w:val="%1.%2.%3.%4"/>
      <w:lvlJc w:val="left"/>
      <w:pPr>
        <w:tabs>
          <w:tab w:val="num" w:pos="3561"/>
        </w:tabs>
        <w:ind w:left="3561" w:hanging="840"/>
      </w:pPr>
      <w:rPr>
        <w:rFonts w:hint="default"/>
      </w:rPr>
    </w:lvl>
    <w:lvl w:ilvl="4">
      <w:start w:val="1"/>
      <w:numFmt w:val="decimal"/>
      <w:lvlText w:val="%1.%2.%3.%4.%5"/>
      <w:lvlJc w:val="left"/>
      <w:pPr>
        <w:tabs>
          <w:tab w:val="num" w:pos="4228"/>
        </w:tabs>
        <w:ind w:left="4228" w:hanging="1080"/>
      </w:pPr>
      <w:rPr>
        <w:rFonts w:hint="default"/>
      </w:rPr>
    </w:lvl>
    <w:lvl w:ilvl="5">
      <w:start w:val="1"/>
      <w:numFmt w:val="decimal"/>
      <w:lvlText w:val="%1.%2.%3.%4.%5.%6"/>
      <w:lvlJc w:val="left"/>
      <w:pPr>
        <w:tabs>
          <w:tab w:val="num" w:pos="4655"/>
        </w:tabs>
        <w:ind w:left="4655" w:hanging="1080"/>
      </w:pPr>
      <w:rPr>
        <w:rFonts w:hint="default"/>
      </w:rPr>
    </w:lvl>
    <w:lvl w:ilvl="6">
      <w:start w:val="1"/>
      <w:numFmt w:val="decimal"/>
      <w:lvlText w:val="%1.%2.%3.%4.%5.%6.%7"/>
      <w:lvlJc w:val="left"/>
      <w:pPr>
        <w:tabs>
          <w:tab w:val="num" w:pos="5442"/>
        </w:tabs>
        <w:ind w:left="5442" w:hanging="1440"/>
      </w:pPr>
      <w:rPr>
        <w:rFonts w:hint="default"/>
      </w:rPr>
    </w:lvl>
    <w:lvl w:ilvl="7">
      <w:start w:val="1"/>
      <w:numFmt w:val="decimal"/>
      <w:lvlText w:val="%1.%2.%3.%4.%5.%6.%7.%8"/>
      <w:lvlJc w:val="left"/>
      <w:pPr>
        <w:tabs>
          <w:tab w:val="num" w:pos="5869"/>
        </w:tabs>
        <w:ind w:left="5869" w:hanging="1440"/>
      </w:pPr>
      <w:rPr>
        <w:rFonts w:hint="default"/>
      </w:rPr>
    </w:lvl>
    <w:lvl w:ilvl="8">
      <w:start w:val="1"/>
      <w:numFmt w:val="decimal"/>
      <w:lvlText w:val="%1.%2.%3.%4.%5.%6.%7.%8.%9"/>
      <w:lvlJc w:val="left"/>
      <w:pPr>
        <w:tabs>
          <w:tab w:val="num" w:pos="6656"/>
        </w:tabs>
        <w:ind w:left="6656" w:hanging="1800"/>
      </w:pPr>
      <w:rPr>
        <w:rFonts w:hint="default"/>
      </w:rPr>
    </w:lvl>
  </w:abstractNum>
  <w:num w:numId="1">
    <w:abstractNumId w:val="9"/>
  </w:num>
  <w:num w:numId="2">
    <w:abstractNumId w:val="8"/>
  </w:num>
  <w:num w:numId="3">
    <w:abstractNumId w:val="6"/>
  </w:num>
  <w:num w:numId="4">
    <w:abstractNumId w:val="13"/>
  </w:num>
  <w:num w:numId="5">
    <w:abstractNumId w:val="5"/>
  </w:num>
  <w:num w:numId="6">
    <w:abstractNumId w:val="12"/>
  </w:num>
  <w:num w:numId="7">
    <w:abstractNumId w:val="3"/>
  </w:num>
  <w:num w:numId="8">
    <w:abstractNumId w:val="0"/>
  </w:num>
  <w:num w:numId="9">
    <w:abstractNumId w:val="7"/>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num>
  <w:num w:numId="13">
    <w:abstractNumId w:val="10"/>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7DD"/>
    <w:rsid w:val="00010A1C"/>
    <w:rsid w:val="00092757"/>
    <w:rsid w:val="000B32C5"/>
    <w:rsid w:val="000B5DCE"/>
    <w:rsid w:val="001151B5"/>
    <w:rsid w:val="001516D8"/>
    <w:rsid w:val="00156261"/>
    <w:rsid w:val="001830D0"/>
    <w:rsid w:val="001A1656"/>
    <w:rsid w:val="001B2490"/>
    <w:rsid w:val="001F34E2"/>
    <w:rsid w:val="002111F2"/>
    <w:rsid w:val="00245648"/>
    <w:rsid w:val="00245B5B"/>
    <w:rsid w:val="002655AF"/>
    <w:rsid w:val="00266A3B"/>
    <w:rsid w:val="00384A43"/>
    <w:rsid w:val="00390811"/>
    <w:rsid w:val="003A3709"/>
    <w:rsid w:val="003E30C8"/>
    <w:rsid w:val="004635AC"/>
    <w:rsid w:val="00466C4C"/>
    <w:rsid w:val="0048493A"/>
    <w:rsid w:val="004B21C4"/>
    <w:rsid w:val="004D49D5"/>
    <w:rsid w:val="005143F8"/>
    <w:rsid w:val="00516EEB"/>
    <w:rsid w:val="005B30D3"/>
    <w:rsid w:val="006219B5"/>
    <w:rsid w:val="00623C2C"/>
    <w:rsid w:val="00624446"/>
    <w:rsid w:val="006B0A26"/>
    <w:rsid w:val="00733FC5"/>
    <w:rsid w:val="007601C9"/>
    <w:rsid w:val="007738C6"/>
    <w:rsid w:val="007A4CBF"/>
    <w:rsid w:val="00803EE1"/>
    <w:rsid w:val="008116CF"/>
    <w:rsid w:val="00823271"/>
    <w:rsid w:val="008B57DD"/>
    <w:rsid w:val="00963E1B"/>
    <w:rsid w:val="009B6966"/>
    <w:rsid w:val="009B76E2"/>
    <w:rsid w:val="00A1375A"/>
    <w:rsid w:val="00A42AC7"/>
    <w:rsid w:val="00A47393"/>
    <w:rsid w:val="00A63313"/>
    <w:rsid w:val="00A97135"/>
    <w:rsid w:val="00AB1BCC"/>
    <w:rsid w:val="00AB77F3"/>
    <w:rsid w:val="00AF7E5E"/>
    <w:rsid w:val="00B04D10"/>
    <w:rsid w:val="00B3767D"/>
    <w:rsid w:val="00B963F2"/>
    <w:rsid w:val="00C029FD"/>
    <w:rsid w:val="00C13EF7"/>
    <w:rsid w:val="00CA0245"/>
    <w:rsid w:val="00CD4F52"/>
    <w:rsid w:val="00CF2451"/>
    <w:rsid w:val="00D42732"/>
    <w:rsid w:val="00D6445B"/>
    <w:rsid w:val="00D82F92"/>
    <w:rsid w:val="00DA29B7"/>
    <w:rsid w:val="00E30C0F"/>
    <w:rsid w:val="00E41ADB"/>
    <w:rsid w:val="00E55712"/>
    <w:rsid w:val="00E6104A"/>
    <w:rsid w:val="00EB78B0"/>
    <w:rsid w:val="00ED0F06"/>
    <w:rsid w:val="00EE5730"/>
    <w:rsid w:val="00F0172A"/>
    <w:rsid w:val="00F20262"/>
    <w:rsid w:val="00F46A49"/>
    <w:rsid w:val="00F7201B"/>
    <w:rsid w:val="00FB70F5"/>
    <w:rsid w:val="00FE7B2C"/>
    <w:rsid w:val="00FF4A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5E58146-FBD9-4EF3-BB6D-E78565F59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ai">
    <w:name w:val="Outline List 1"/>
    <w:basedOn w:val="NoList"/>
    <w:rsid w:val="008B57DD"/>
    <w:pPr>
      <w:numPr>
        <w:numId w:val="7"/>
      </w:numPr>
    </w:pPr>
  </w:style>
  <w:style w:type="character" w:styleId="Hyperlink">
    <w:name w:val="Hyperlink"/>
    <w:rsid w:val="00466C4C"/>
    <w:rPr>
      <w:color w:val="0000FF"/>
      <w:u w:val="single"/>
    </w:rPr>
  </w:style>
  <w:style w:type="paragraph" w:styleId="ListParagraph">
    <w:name w:val="List Paragraph"/>
    <w:basedOn w:val="Normal"/>
    <w:uiPriority w:val="34"/>
    <w:qFormat/>
    <w:rsid w:val="00A97135"/>
    <w:pPr>
      <w:ind w:left="720"/>
      <w:contextualSpacing/>
    </w:pPr>
    <w:rPr>
      <w:szCs w:val="22"/>
      <w:lang w:eastAsia="en-US"/>
    </w:rPr>
  </w:style>
  <w:style w:type="table" w:styleId="TableGrid">
    <w:name w:val="Table Grid"/>
    <w:basedOn w:val="TableNormal"/>
    <w:uiPriority w:val="59"/>
    <w:rsid w:val="00A97135"/>
    <w:pPr>
      <w:spacing w:before="100" w:beforeAutospacing="1" w:after="100" w:afterAutospacing="1"/>
    </w:pPr>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rsid w:val="00156261"/>
    <w:pPr>
      <w:spacing w:after="240"/>
      <w:jc w:val="both"/>
    </w:pPr>
    <w:rPr>
      <w:rFonts w:cs="Arial"/>
      <w:szCs w:val="20"/>
    </w:rPr>
  </w:style>
  <w:style w:type="paragraph" w:styleId="BalloonText">
    <w:name w:val="Balloon Text"/>
    <w:basedOn w:val="Normal"/>
    <w:link w:val="BalloonTextChar"/>
    <w:rsid w:val="00D82F92"/>
    <w:rPr>
      <w:rFonts w:ascii="Tahoma" w:hAnsi="Tahoma" w:cs="Tahoma"/>
      <w:sz w:val="16"/>
      <w:szCs w:val="16"/>
    </w:rPr>
  </w:style>
  <w:style w:type="character" w:customStyle="1" w:styleId="BalloonTextChar">
    <w:name w:val="Balloon Text Char"/>
    <w:link w:val="BalloonText"/>
    <w:rsid w:val="00D82F92"/>
    <w:rPr>
      <w:rFonts w:ascii="Tahoma" w:hAnsi="Tahoma" w:cs="Tahoma"/>
      <w:sz w:val="16"/>
      <w:szCs w:val="16"/>
    </w:rPr>
  </w:style>
  <w:style w:type="character" w:styleId="FollowedHyperlink">
    <w:name w:val="FollowedHyperlink"/>
    <w:rsid w:val="00A63313"/>
    <w:rPr>
      <w:color w:val="800080"/>
      <w:u w:val="single"/>
    </w:rPr>
  </w:style>
  <w:style w:type="paragraph" w:styleId="Header">
    <w:name w:val="header"/>
    <w:basedOn w:val="Normal"/>
    <w:link w:val="HeaderChar"/>
    <w:rsid w:val="004B21C4"/>
    <w:pPr>
      <w:tabs>
        <w:tab w:val="center" w:pos="4513"/>
        <w:tab w:val="right" w:pos="9026"/>
      </w:tabs>
    </w:pPr>
  </w:style>
  <w:style w:type="character" w:customStyle="1" w:styleId="HeaderChar">
    <w:name w:val="Header Char"/>
    <w:link w:val="Header"/>
    <w:rsid w:val="004B21C4"/>
    <w:rPr>
      <w:rFonts w:ascii="Arial" w:hAnsi="Arial"/>
      <w:sz w:val="22"/>
      <w:szCs w:val="24"/>
    </w:rPr>
  </w:style>
  <w:style w:type="paragraph" w:styleId="Footer">
    <w:name w:val="footer"/>
    <w:basedOn w:val="Normal"/>
    <w:link w:val="FooterChar"/>
    <w:uiPriority w:val="99"/>
    <w:rsid w:val="004B21C4"/>
    <w:pPr>
      <w:tabs>
        <w:tab w:val="center" w:pos="4513"/>
        <w:tab w:val="right" w:pos="9026"/>
      </w:tabs>
    </w:pPr>
  </w:style>
  <w:style w:type="character" w:customStyle="1" w:styleId="FooterChar">
    <w:name w:val="Footer Char"/>
    <w:link w:val="Footer"/>
    <w:uiPriority w:val="99"/>
    <w:rsid w:val="004B21C4"/>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39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olicy  or  Procedure  or  Protocol" ma:contentTypeID="0x01010052896DED4EEC6349B7172DAF3DF9658601010B00482144B7E258D846BC8C058F5232C155" ma:contentTypeVersion="18" ma:contentTypeDescription="One or a combination of the following:  Policy ? a statement of a defined course of action or principles for the organisation to work to.   Procedure ? interpretation of a policy into detailed actions or operational requirements.  Protocol ? the means by which actions and requirements are to be implemented." ma:contentTypeScope="" ma:versionID="6a4dd69a48ba84889860206f9ffc9de9">
  <xsd:schema xmlns:xsd="http://www.w3.org/2001/XMLSchema" xmlns:p="http://schemas.microsoft.com/office/2006/metadata/properties" xmlns:ns2="f126f700-45b1-4a30-b0b0-28d9c74eede0" targetNamespace="http://schemas.microsoft.com/office/2006/metadata/properties" ma:root="true" ma:fieldsID="fae5f6a15d4bc6708a0837f6142a16a5" ns2:_="">
    <xsd:import namespace="f126f700-45b1-4a30-b0b0-28d9c74eede0"/>
    <xsd:element name="properties">
      <xsd:complexType>
        <xsd:sequence>
          <xsd:element name="documentManagement">
            <xsd:complexType>
              <xsd:all>
                <xsd:element ref="ns2:Teaser"/>
                <xsd:element ref="ns2:Document_x0020_Owner"/>
                <xsd:element ref="ns2:Security_x0020_Classification"/>
                <xsd:element ref="ns2:Information_x0020_Categories"/>
                <xsd:element ref="ns2:_dlc_Exempt" minOccurs="0"/>
                <xsd:element ref="ns2:_dlc_ExpireDateSaved" minOccurs="0"/>
                <xsd:element ref="ns2:_dlc_ExpireDate" minOccurs="0"/>
              </xsd:all>
            </xsd:complexType>
          </xsd:element>
        </xsd:sequence>
      </xsd:complexType>
    </xsd:element>
  </xsd:schema>
  <xsd:schema xmlns:xsd="http://www.w3.org/2001/XMLSchema" xmlns:dms="http://schemas.microsoft.com/office/2006/documentManagement/types" targetNamespace="f126f700-45b1-4a30-b0b0-28d9c74eede0" elementFormDefault="qualified">
    <xsd:import namespace="http://schemas.microsoft.com/office/2006/documentManagement/types"/>
    <xsd:element name="Teaser" ma:index="8" ma:displayName="Teaser" ma:internalName="Teaser" ma:readOnly="false">
      <xsd:simpleType>
        <xsd:restriction base="dms:Note"/>
      </xsd:simpleType>
    </xsd:element>
    <xsd:element name="Document_x0020_Owner" ma:index="9" ma:displayName="Document Owner" ma:description="Person or group responsible for this document" ma:list="UserInfo"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ecurity_x0020_Classification" ma:index="10" ma:displayName="Security Classification" ma:default="Public" ma:format="RadioButtons" ma:internalName="Security_x0020_Classification" ma:readOnly="false">
      <xsd:simpleType>
        <xsd:restriction base="dms:Choice">
          <xsd:enumeration value="Public"/>
          <xsd:enumeration value="Restricted"/>
        </xsd:restriction>
      </xsd:simpleType>
    </xsd:element>
    <xsd:element name="Information_x0020_Categories" ma:index="11" ma:displayName="Information Categories" ma:description="Select the categories and terms that describe the information contained in this document." ma:list="d68a9e77-df08-4442-afc4-5835f86d7b6c" ma:internalName="Information_x0020_Categories" ma:showField="CategoryLookup" ma:web="c6460eaa-beee-42c9-a64b-661beef4b44f">
      <xsd:simpleType>
        <xsd:restriction base="dms:Unknown"/>
      </xsd:simpleType>
    </xsd:element>
    <xsd:element name="_dlc_Exempt" ma:index="12" nillable="true" ma:displayName="Exempt from Policy" ma:description="" ma:hidden="true" ma:internalName="_dlc_Exempt" ma:readOnly="true">
      <xsd:simpleType>
        <xsd:restriction base="dms:Unknown"/>
      </xsd:simpleType>
    </xsd:element>
    <xsd:element name="_dlc_ExpireDateSaved" ma:index="13" nillable="true" ma:displayName="Original Expiration Date" ma:description="" ma:hidden="true" ma:internalName="_dlc_ExpireDateSaved" ma:readOnly="true">
      <xsd:simpleType>
        <xsd:restriction base="dms:DateTime"/>
      </xsd:simpleType>
    </xsd:element>
    <xsd:element name="_dlc_ExpireDate" ma:index="14" nillable="true" ma:displayName="Expiration Date" ma:description="" ma:hidden="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aser xmlns="f126f700-45b1-4a30-b0b0-28d9c74eede0">Guidance on what to do if confidential information is lost, stolen or misused.</Teaser>
    <Security_x0020_Classification xmlns="f126f700-45b1-4a30-b0b0-28d9c74eede0">Public</Security_x0020_Classification>
    <Document_x0020_Owner xmlns="f126f700-45b1-4a30-b0b0-28d9c74eede0">
      <UserInfo>
        <DisplayName/>
        <AccountId>144</AccountId>
        <AccountType/>
      </UserInfo>
    </Document_x0020_Owner>
    <Information_x0020_Categories xmlns="f126f700-45b1-4a30-b0b0-28d9c74eede0">1927;#Privacy and data protection</Information_x0020_Categories>
  </documentManagement>
</p:properties>
</file>

<file path=customXml/item4.xml><?xml version="1.0" encoding="utf-8"?>
<?mso-contentType ?>
<p:Policy xmlns:p="office.server.policy" id="" local="true">
  <p:Name>HPS.HC.Document.Approval.Annually</p:Name>
  <p:Description/>
  <p:Statement/>
  <p:PolicyItems>
    <p:PolicyItem featureId="Microsoft.Office.RecordsManagement.PolicyFeatures.Expiration">
      <p:Name>Expiration</p:Name>
      <p:Description>Automatic scheduling of content for processing, and expiry of content that has reached its due date.</p:Description>
      <p:CustomData>
        <data>
          <formula id="Microsoft.Office.RecordsManagement.PolicyFeatures.Expiration.Formula.BuiltIn">
            <number>1</number>
            <property>Modified</property>
            <period>years</period>
          </formula>
          <action type="workflow" id="290b01f0-6d55-4746-8819-f402580a478e"/>
        </data>
      </p:CustomData>
    </p:PolicyItem>
  </p:PolicyItems>
</p:Policy>
</file>

<file path=customXml/item5.xml><?xml version="1.0" encoding="utf-8"?>
<?mso-contentType ?>
<spe:Receivers xmlns:spe="http://schemas.microsoft.com/sharepoint/events">
  <Receiver>
    <Name>Microsoft.Office.RecordsManagement.PolicyFeatures.ExpirationEventReceiver</Name>
    <Type>10001</Type>
    <SequenceNumber>101</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10002</Type>
    <SequenceNumber>102</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10004</Type>
    <SequenceNumber>103</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10006</Type>
    <SequenceNumber>104</SequenceNumber>
    <Assembly>Microsoft.Office.Policy, Version=12.0.0.0, Culture=neutral, PublicKeyToken=71e9bce111e9429c</Assembly>
    <Class>Microsoft.Office.RecordsManagement.Internal.UpdateExpireDate</Class>
    <Data/>
    <Filter/>
  </Receiver>
</spe:Receiver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75EF48A7-A106-4247-8207-112BB7FBDC2F}">
  <ds:schemaRefs>
    <ds:schemaRef ds:uri="http://schemas.microsoft.com/sharepoint/v3/contenttype/forms"/>
  </ds:schemaRefs>
</ds:datastoreItem>
</file>

<file path=customXml/itemProps2.xml><?xml version="1.0" encoding="utf-8"?>
<ds:datastoreItem xmlns:ds="http://schemas.openxmlformats.org/officeDocument/2006/customXml" ds:itemID="{010023CF-7878-4381-B3F8-73DB8D5FE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26f700-45b1-4a30-b0b0-28d9c74eede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EB536C7-85F0-44C3-B130-3B049A7D7282}">
  <ds:schemaRefs>
    <ds:schemaRef ds:uri="http://schemas.microsoft.com/office/2006/metadata/properties"/>
    <ds:schemaRef ds:uri="http://schemas.microsoft.com/office/infopath/2007/PartnerControls"/>
    <ds:schemaRef ds:uri="f126f700-45b1-4a30-b0b0-28d9c74eede0"/>
  </ds:schemaRefs>
</ds:datastoreItem>
</file>

<file path=customXml/itemProps4.xml><?xml version="1.0" encoding="utf-8"?>
<ds:datastoreItem xmlns:ds="http://schemas.openxmlformats.org/officeDocument/2006/customXml" ds:itemID="{BFFFA546-598F-4208-ABE0-D649CFF0904E}">
  <ds:schemaRefs>
    <ds:schemaRef ds:uri="office.server.policy"/>
  </ds:schemaRefs>
</ds:datastoreItem>
</file>

<file path=customXml/itemProps5.xml><?xml version="1.0" encoding="utf-8"?>
<ds:datastoreItem xmlns:ds="http://schemas.openxmlformats.org/officeDocument/2006/customXml" ds:itemID="{0D428E90-FD50-4A35-9B01-CF2039D05983}">
  <ds:schemaRefs>
    <ds:schemaRef ds:uri="http://schemas.microsoft.com/sharepoint/events"/>
  </ds:schemaRefs>
</ds:datastoreItem>
</file>

<file path=customXml/itemProps6.xml><?xml version="1.0" encoding="utf-8"?>
<ds:datastoreItem xmlns:ds="http://schemas.openxmlformats.org/officeDocument/2006/customXml" ds:itemID="{64DAA59F-0F03-4C04-AA5E-4438F3C9B10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Data Security Breach Procedure</vt:lpstr>
    </vt:vector>
  </TitlesOfParts>
  <Company>Herefordshire Council</Company>
  <LinksUpToDate>false</LinksUpToDate>
  <CharactersWithSpaces>3723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Security Breach Procedure</dc:title>
  <dc:subject>Data Protection</dc:subject>
  <dc:creator>Geoff Hardy</dc:creator>
  <cp:keywords>Information Security, Data Loss, inappropriate sharing</cp:keywords>
  <cp:lastModifiedBy>Owner</cp:lastModifiedBy>
  <cp:revision>3</cp:revision>
  <cp:lastPrinted>2013-03-25T14:00:00Z</cp:lastPrinted>
  <dcterms:created xsi:type="dcterms:W3CDTF">2018-05-21T14:19:00Z</dcterms:created>
  <dcterms:modified xsi:type="dcterms:W3CDTF">2018-05-21T14:20:00Z</dcterms:modified>
  <cp:category>Information Governance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ExpireDate">
    <vt:lpwstr>2014-04-15T18:31:00Z</vt:lpwstr>
  </property>
  <property fmtid="{D5CDD505-2E9C-101B-9397-08002B2CF9AE}" pid="3" name="ContentTypeId">
    <vt:lpwstr>0x01010052896DED4EEC6349B7172DAF3DF9658601010B00482144B7E258D846BC8C058F5232C155</vt:lpwstr>
  </property>
  <property fmtid="{D5CDD505-2E9C-101B-9397-08002B2CF9AE}" pid="4" name="display_urn:schemas-microsoft-com:office:office#Document_x0020_Owner">
    <vt:lpwstr>Sawyer, Anthony</vt:lpwstr>
  </property>
  <property fmtid="{D5CDD505-2E9C-101B-9397-08002B2CF9AE}" pid="5" name="ContentType">
    <vt:lpwstr>Policy  or  Procedure  or  Protocol</vt:lpwstr>
  </property>
</Properties>
</file>